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B9" w:rsidRDefault="004E1134" w:rsidP="008E2EB9">
      <w:pPr>
        <w:spacing w:before="0" w:line="300" w:lineRule="atLeast"/>
        <w:jc w:val="right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ΠΑΡΑΡΤΗΜΑ 16</w:t>
      </w:r>
    </w:p>
    <w:p w:rsidR="008E2EB9" w:rsidRDefault="008E2EB9" w:rsidP="008E2EB9">
      <w:pPr>
        <w:suppressAutoHyphens w:val="0"/>
        <w:spacing w:before="0" w:line="300" w:lineRule="atLeast"/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</w:p>
    <w:p w:rsidR="008E2EB9" w:rsidRPr="008E2EB9" w:rsidRDefault="008E2EB9" w:rsidP="008E2EB9">
      <w:pPr>
        <w:suppressAutoHyphens w:val="0"/>
        <w:spacing w:before="0" w:line="300" w:lineRule="atLeast"/>
        <w:jc w:val="center"/>
        <w:rPr>
          <w:rFonts w:asciiTheme="minorHAnsi" w:eastAsiaTheme="minorHAnsi" w:hAnsiTheme="minorHAnsi" w:cstheme="minorHAnsi"/>
          <w:b/>
          <w:kern w:val="0"/>
          <w:sz w:val="3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b/>
          <w:kern w:val="0"/>
          <w:sz w:val="32"/>
          <w:szCs w:val="22"/>
          <w:lang w:eastAsia="en-US"/>
        </w:rPr>
        <w:t>ΠΕΡΙΒΑΛΛΟΝΤΙΚΗ ΝΟΜΟΘΕΣΙΑ</w:t>
      </w:r>
    </w:p>
    <w:p w:rsidR="008E2EB9" w:rsidRPr="008E2EB9" w:rsidRDefault="008E2EB9" w:rsidP="008E2EB9">
      <w:pPr>
        <w:suppressAutoHyphens w:val="0"/>
        <w:spacing w:before="0" w:line="300" w:lineRule="atLeast"/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Τα έργα και οι επιχειρήσεις θα πρέπει να συνάδουν με το σύνολο της περιβαλλοντικής νομο</w:t>
      </w:r>
      <w:bookmarkStart w:id="0" w:name="_GoBack"/>
      <w:bookmarkEnd w:id="0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θεσίας, κύριοι άξονες της οποίας είναι οι πιο κάτω Νόμοι και οι Κανονισμοί που προκύπτουν από αυτούς.</w:t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πιο κάτω κατάλογος δεν είναι εξαντλητικός:</w:t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της Εκτίμησης των Επιπτώσεων στο Περιβάλλον από Ορισμένα Έργα  Νόμοι 2005 έως 2014.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της Εκτίμησης των Επιπτώσεων στο Περιβάλλον Ορισμένων Σχεδίων και Προγραμμάτων Νόμος, Ν. 102(Ι)/2005.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Εκπομπών Ορισμένων Φθοριούχων Αερίων Θερμοκηπίου Νόμος 23(Ι)/2010.</w:t>
      </w:r>
    </w:p>
    <w:p w:rsidR="008E2EB9" w:rsidRPr="008E2EB9" w:rsidRDefault="004E1134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5" w:history="1">
        <w:r w:rsidR="008E2EB9"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Επιχειρήσεων και Προσωπικού όσον αφορά Σταθερό Εξοπλισμό Ψύξης, Κλιματισμού και Αντλιών Θερμότητας Κανονισμοί του 2010 - (Κ.Δ.Π. 133/2010</w:t>
        </w:r>
      </w:hyperlink>
      <w:r w:rsidR="008E2EB9"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).</w:t>
      </w:r>
    </w:p>
    <w:p w:rsidR="008E2EB9" w:rsidRPr="008E2EB9" w:rsidRDefault="004E1134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6" w:history="1">
        <w:r w:rsidR="008E2EB9"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2010 - (Κ.Δ.Π. 134/2010)</w:t>
        </w:r>
      </w:hyperlink>
      <w:r w:rsidR="008E2EB9"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4E1134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7" w:history="1">
        <w:r w:rsidR="008E2EB9"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Προσωπικού που Προβαίνει σε Ανάκτηση Ορισμένων Διαλυτών με βάση Φθοριούχα Αέρια Θερμοκηπίου από Εξοπλισμό, Κανονισμοί του 2010 - (Κ.Δ.Π. 135/2010)</w:t>
        </w:r>
      </w:hyperlink>
      <w:r w:rsidR="008E2EB9"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4E1134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8" w:history="1">
        <w:r w:rsidR="008E2EB9"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Επιχειρήσεων και Προσωπικού όσον αφορά τα Μόνιμης Εγκατάστασης Συστήματα Πυροπροστασίας και Πυροσβεστήρες, Κανονισμοί του 2010 - (ΚΔΠ 132/2010)</w:t>
        </w:r>
      </w:hyperlink>
      <w:r w:rsidR="008E2EB9"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8E2EB9" w:rsidP="008E2EB9">
      <w:pPr>
        <w:suppressAutoHyphens w:val="0"/>
        <w:spacing w:before="0" w:line="300" w:lineRule="atLeast"/>
        <w:ind w:left="112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Νόμος 16(Ι)/2011 για τις ουσίες που καταστρέφουν τη στιβάδα του όζοντος.</w:t>
      </w:r>
    </w:p>
    <w:p w:rsidR="008E2EB9" w:rsidRPr="008E2EB9" w:rsidRDefault="008E2EB9" w:rsidP="008E2EB9">
      <w:pPr>
        <w:numPr>
          <w:ilvl w:val="0"/>
          <w:numId w:val="3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Κ.Δ.Π. 66/2011 για τις ουσίες που καταστρέφουν τη Στιβάδα του Όζοντος (Υποχρεώσεις αναφορικά με Ουσίες, Προϊόντα και Εξοπλισμό).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</w:tblGrid>
      <w:tr w:rsidR="008E2EB9" w:rsidRPr="008E2EB9" w:rsidTr="008E2EB9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E2EB9" w:rsidRPr="008E2EB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2EB9" w:rsidRPr="008E2EB9" w:rsidRDefault="008E2EB9" w:rsidP="008E2EB9">
                  <w:pPr>
                    <w:suppressAutoHyphens w:val="0"/>
                    <w:spacing w:before="0" w:line="300" w:lineRule="atLeast"/>
                    <w:rPr>
                      <w:rFonts w:asciiTheme="minorHAnsi" w:hAnsiTheme="minorHAnsi" w:cstheme="minorHAnsi"/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2EB9" w:rsidRPr="008E2EB9" w:rsidRDefault="008E2EB9" w:rsidP="008E2EB9">
                  <w:pPr>
                    <w:suppressAutoHyphens w:val="0"/>
                    <w:spacing w:before="0" w:line="300" w:lineRule="atLeast"/>
                    <w:rPr>
                      <w:rFonts w:asciiTheme="minorHAnsi" w:hAnsiTheme="minorHAnsi" w:cstheme="minorHAnsi"/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E2EB9" w:rsidRPr="008E2EB9" w:rsidRDefault="008E2EB9" w:rsidP="008E2EB9">
            <w:pPr>
              <w:suppressAutoHyphens w:val="0"/>
              <w:spacing w:before="0" w:line="300" w:lineRule="atLeast"/>
              <w:rPr>
                <w:rFonts w:asciiTheme="minorHAnsi" w:hAnsiTheme="minorHAnsi" w:cstheme="minorHAnsi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Προστασίας και Διαχείρισης της Φύσης και της Άγριας Ζωής Νόμος, Ν. 153(Ι)/2003.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οργανισμών, για τις προϋποθέσεις χορήγησης της σχετικής άδειας και για συναφή θέματα (Αρ. 160(Ι)/2003).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Ελέγχου της Ρύπανσης των Νερών και του Εδάφους Νόμοι του 2002 έως 2013 – (Ν. 106/2002).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Συσκευασιών και Αποβλήτων Συσκευασιών Νόμος 2002 έως 2012 {Ν. 132(Ι)/2002, Ν. 125(Ι)/2012}.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Σε περίπτωση που οι συνολικές ετήσιες ποσότητες συσκευασιών που τοποθετεί η επιχείρηση στην Κυπριακή αγορά, ξεπερνούν τους 2 τόνους, τότε αυτή θα πρέπει να αναλαμβάνει το κόστος διαχείρισής τους συμμετέχοντας σε συλλογικό σύστημα.</w:t>
      </w:r>
    </w:p>
    <w:p w:rsidR="008E2EB9" w:rsidRPr="008E2EB9" w:rsidRDefault="008E2EB9" w:rsidP="008E2EB9">
      <w:pPr>
        <w:suppressAutoHyphens w:val="0"/>
        <w:spacing w:before="0" w:line="300" w:lineRule="atLeast"/>
        <w:ind w:left="144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Αποβλήτων Νόμοι του 2011 έως (αρ. 2) 2014 – {185(Ι)/2011, 32(Ι)/2014}.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Διαχείριση Αποβλήτων Ελαστικών Κ.Δ.Π. 61/2011.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Ηλεκτρικές Στήλες και Συσσωρευτές Κ.Δ.Π. 125/2009.</w:t>
      </w:r>
    </w:p>
    <w:p w:rsidR="008E2EB9" w:rsidRPr="008E2EB9" w:rsidRDefault="008E2EB9" w:rsidP="008E2EB9">
      <w:pPr>
        <w:numPr>
          <w:ilvl w:val="1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lastRenderedPageBreak/>
        <w:t>Ο παραγωγός (π.χ. εισαγωγέας) ηλεκτρικών στηλών και συσσωρευτών  οφείλει να αναλαμβάνει το κόστος διαχείρισής τους όταν αυτά καταστούν απόβλητα, οργανώνοντας ατομικό σύστημα ή συμμετέχοντας σε συλλογικό σύστημα.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Απόβλητα Ηλεκτρικού και Ηλεκτρονικού Εξοπλισμού Κ.Δ.Π. 668/2004, Κ.Δ.Π. 378/2009.</w:t>
      </w:r>
    </w:p>
    <w:p w:rsidR="008E2EB9" w:rsidRPr="008E2EB9" w:rsidRDefault="008E2EB9" w:rsidP="008E2EB9">
      <w:pPr>
        <w:numPr>
          <w:ilvl w:val="1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παραγωγός (π.χ. εισαγωγέας) ηλεκτρικού και ηλεκτρονικού εξοπλισμού οφείλει να αναλαμβάνει το κόστος διαχείρισής του όταν αυτός καταστεί απόβλητο, οργανώνοντας ατομικό σύστημα ή συμμετέχοντας σε συλλογικό σύστημα.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Χώροι Υγειονομικής Ταφής Απορριμμάτων Κ,Δ.Π. 562/2003, Κ,Δ.Π. 618/2007, Κ,Δ.Π. 147/2014.</w:t>
      </w:r>
    </w:p>
    <w:p w:rsidR="008E2EB9" w:rsidRPr="008E2EB9" w:rsidRDefault="008E2EB9" w:rsidP="008E2EB9">
      <w:pPr>
        <w:suppressAutoHyphens w:val="0"/>
        <w:spacing w:before="0" w:line="300" w:lineRule="atLeast"/>
        <w:ind w:left="144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διαχείρισης των αποβλήτων της εξορυκτικής βιομηχανίας νόμος (Ν.82(Ι)/2009).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Έγκριση σχεδίου διαχείρισης εξορυκτικών αποβλήτων.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Άδεια εγκατάστασης εξορυκτικών αποβλήτων.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Πιστοποιητικό κατάλληλης </w:t>
      </w:r>
      <w:proofErr w:type="spellStart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χωροθέτησης</w:t>
      </w:r>
      <w:proofErr w:type="spellEnd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για κατασκευή νέων και μετατροπή υφιστάμενων εγκαταστάσεων εξορυκτικών αποβλήτων.</w:t>
      </w:r>
    </w:p>
    <w:p w:rsidR="008E2EB9" w:rsidRPr="008E2EB9" w:rsidRDefault="008E2EB9" w:rsidP="008E2EB9">
      <w:pPr>
        <w:suppressAutoHyphens w:val="0"/>
        <w:spacing w:before="0" w:line="300" w:lineRule="atLeast"/>
        <w:ind w:left="121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Βιομηχανικών Εκπομπών Νόμος του 2013, Ν. 184(Ι)/2013, Έκδοση Άδειας Βιομηχανικών Εκπομπών.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Αξιολόγησης και Διαχείρισης του Περιβαλλοντικού Θορύβου Νόμοι 2004 έως2007.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των Βασικών Απαιτήσεων (Εκπομπή Θορύβου στο Περιβάλλον από Εξοπλισμό προς Χρήση σε Εξωτερικούς Χώρους) Κανονισμοί του 2003 (Κ.Δ.Π. 535/2003).</w:t>
      </w:r>
    </w:p>
    <w:p w:rsidR="000E17D7" w:rsidRPr="008E2EB9" w:rsidRDefault="000E17D7" w:rsidP="008E2EB9">
      <w:pPr>
        <w:spacing w:before="0" w:line="300" w:lineRule="atLeast"/>
        <w:rPr>
          <w:rFonts w:asciiTheme="minorHAnsi" w:hAnsiTheme="minorHAnsi" w:cstheme="minorHAnsi"/>
          <w:sz w:val="22"/>
          <w:szCs w:val="22"/>
        </w:rPr>
      </w:pPr>
    </w:p>
    <w:sectPr w:rsidR="000E17D7" w:rsidRPr="008E2EB9" w:rsidSect="008E2E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464"/>
    <w:multiLevelType w:val="hybridMultilevel"/>
    <w:tmpl w:val="85FE00E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9BC6DEA"/>
    <w:multiLevelType w:val="hybridMultilevel"/>
    <w:tmpl w:val="579EB9D8"/>
    <w:lvl w:ilvl="0" w:tplc="1E4EFFEE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C9255D"/>
    <w:multiLevelType w:val="hybridMultilevel"/>
    <w:tmpl w:val="1A3CC838"/>
    <w:lvl w:ilvl="0" w:tplc="040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B5B62DB"/>
    <w:multiLevelType w:val="hybridMultilevel"/>
    <w:tmpl w:val="4D9CB7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F3109A0"/>
    <w:multiLevelType w:val="hybridMultilevel"/>
    <w:tmpl w:val="BCE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9"/>
    <w:rsid w:val="000E17D7"/>
    <w:rsid w:val="004E1134"/>
    <w:rsid w:val="008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4506"/>
  <w15:docId w15:val="{698ADBD9-2EE2-49A9-B8D9-D96A625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B9"/>
    <w:pPr>
      <w:suppressAutoHyphens/>
      <w:spacing w:before="170" w:after="0" w:line="360" w:lineRule="atLeast"/>
      <w:jc w:val="both"/>
    </w:pPr>
    <w:rPr>
      <w:rFonts w:ascii="Arial" w:eastAsia="Times New Roman" w:hAnsi="Arial" w:cs="Arial"/>
      <w:kern w:val="2"/>
      <w:sz w:val="24"/>
      <w:szCs w:val="20"/>
      <w:lang w:val="el-GR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8E2EB9"/>
    <w:pPr>
      <w:keepNext/>
      <w:tabs>
        <w:tab w:val="num" w:pos="0"/>
      </w:tabs>
      <w:spacing w:after="283"/>
      <w:ind w:left="576" w:hanging="576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E2EB9"/>
    <w:rPr>
      <w:rFonts w:ascii="Arial" w:eastAsia="Times New Roman" w:hAnsi="Arial" w:cs="Arial"/>
      <w:b/>
      <w:color w:val="000000"/>
      <w:kern w:val="2"/>
      <w:sz w:val="24"/>
      <w:szCs w:val="20"/>
      <w:u w:val="single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8E2E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EB9"/>
    <w:rPr>
      <w:rFonts w:ascii="Arial" w:eastAsia="Times New Roman" w:hAnsi="Arial" w:cs="Arial"/>
      <w:kern w:val="2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cy/moa/environment/environment.nsf/All/21766F31A3EFF891C2257A05002A146D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a.gov.cy/moa/environment/environment.nsf/All/53697F5E614866DEC2257A05002AED9E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a.gov.cy/moa/environment/environment.nsf/All/CBBF1D5AEC3A8C29C2257A05002AB93A?OpenDocument" TargetMode="External"/><Relationship Id="rId5" Type="http://schemas.openxmlformats.org/officeDocument/2006/relationships/hyperlink" Target="http://www.moa.gov.cy/moa/environment/environment.nsf/All/4F63543500DC2522C2257A05002A7D21?OpenDocu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Pappouli</dc:creator>
  <cp:lastModifiedBy>Pappouli  Natasa</cp:lastModifiedBy>
  <cp:revision>2</cp:revision>
  <dcterms:created xsi:type="dcterms:W3CDTF">2016-03-21T10:09:00Z</dcterms:created>
  <dcterms:modified xsi:type="dcterms:W3CDTF">2017-10-02T09:56:00Z</dcterms:modified>
</cp:coreProperties>
</file>